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bookmarkStart w:colFirst="0" w:colLast="0" w:name="_heading=h.j6nxn6agj7rt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Приложение 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к Учетной политике для целей бухгалтерского учета</w:t>
      </w:r>
    </w:p>
    <w:p w:rsidR="00000000" w:rsidDel="00000000" w:rsidP="00000000" w:rsidRDefault="00000000" w:rsidRPr="00000000" w14:paraId="0000000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Состав инвентаризационной комиссии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состав постоянно действующей инвентаризационной комиссии входят: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председатель комиссии – главный инженер;</w:t>
      </w:r>
    </w:p>
    <w:p w:rsidR="00000000" w:rsidDel="00000000" w:rsidP="00000000" w:rsidRDefault="00000000" w:rsidRPr="00000000" w14:paraId="0000000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члены комиссии: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главный бухгалтер;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главный специалист;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80" w:right="1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главный отдел кадров;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righ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Свои функции комиссия выполняет в соответствии с положением, утверждаемым руководителем учреждения.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nDvNkAwvxJZnXKhediUU42nCA==">CgMxLjAyDmguajZueG42YWdqN3J0OAByITFfQS02d3lXcWlIMGpnU3FCOUtyV28zZlpaYnZSMHRoMg==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2025-11-19T11:54:00Z</dcterms:created>
  <dc:creator>iks12</dc:creator>
</cp:coreProperties>
</file>